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重庆南投商业管理有限公司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eastAsia="方正小标宋_GBK"/>
          <w:sz w:val="44"/>
          <w:szCs w:val="44"/>
          <w:lang w:val="en-US" w:eastAsia="zh-CN"/>
        </w:rPr>
      </w:pPr>
      <w:r>
        <w:rPr>
          <w:rFonts w:hint="eastAsia" w:ascii="方正小标宋_GBK" w:eastAsia="方正小标宋_GBK"/>
          <w:sz w:val="44"/>
          <w:szCs w:val="44"/>
          <w:lang w:val="en-US" w:eastAsia="zh-CN"/>
        </w:rPr>
        <w:t>关于智能装备制造产业园借土回填项目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lang w:val="en-US" w:eastAsia="zh-CN"/>
        </w:rPr>
      </w:pPr>
      <w:r>
        <w:rPr>
          <w:rFonts w:hint="eastAsia" w:ascii="方正小标宋_GBK" w:hAnsi="方正小标宋_GBK" w:eastAsia="方正小标宋_GBK" w:cs="方正小标宋_GBK"/>
          <w:b w:val="0"/>
          <w:bCs/>
          <w:sz w:val="44"/>
          <w:szCs w:val="44"/>
          <w:lang w:eastAsia="zh-CN"/>
        </w:rPr>
        <w:t>钢板冲洗槽制作安装服务的询价公告</w:t>
      </w:r>
    </w:p>
    <w:p>
      <w:pPr>
        <w:rPr>
          <w:rFonts w:ascii="仿宋_GB2312" w:eastAsia="仿宋_GB2312"/>
          <w:sz w:val="32"/>
          <w:szCs w:val="32"/>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pPr>
      <w:r>
        <w:rPr>
          <w:rFonts w:hint="eastAsia" w:ascii="方正仿宋_GBK" w:eastAsia="方正仿宋_GBK"/>
          <w:kern w:val="2"/>
          <w:sz w:val="32"/>
          <w:szCs w:val="32"/>
          <w:lang w:val="en-US" w:eastAsia="zh-CN" w:bidi="ar-SA"/>
        </w:rPr>
        <w:t>为保证消纳场</w:t>
      </w:r>
      <w:r>
        <w:rPr>
          <w:rFonts w:hint="eastAsia" w:ascii="方正仿宋_GBK" w:eastAsia="方正仿宋_GBK"/>
          <w:sz w:val="32"/>
          <w:szCs w:val="32"/>
          <w:lang w:eastAsia="zh-CN"/>
        </w:rPr>
        <w:t>安全、环保</w:t>
      </w:r>
      <w:r>
        <w:rPr>
          <w:rFonts w:hint="eastAsia" w:ascii="方正仿宋_GBK" w:eastAsia="方正仿宋_GBK"/>
          <w:kern w:val="2"/>
          <w:sz w:val="32"/>
          <w:szCs w:val="32"/>
          <w:lang w:val="en-US" w:eastAsia="zh-CN" w:bidi="ar-SA"/>
        </w:rPr>
        <w:t>运营，需制作安装借土回填项目进口钢板冲洗槽服务。现公开征询智能装备制造产业园借土回填项目钢板冲洗槽制作安装服务的费用。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方正黑体_GBK" w:hAnsi="方正黑体_GBK" w:eastAsia="方正黑体_GBK" w:cs="方正黑体_GBK"/>
          <w:b w:val="0"/>
          <w:bCs/>
        </w:rPr>
      </w:pPr>
      <w:r>
        <w:rPr>
          <w:rStyle w:val="14"/>
          <w:rFonts w:hint="eastAsia" w:ascii="方正黑体_GBK" w:hAnsi="方正黑体_GBK" w:eastAsia="方正黑体_GBK" w:cs="方正黑体_GBK"/>
          <w:b w:val="0"/>
          <w:bCs/>
          <w:i w:val="0"/>
          <w:caps w:val="0"/>
          <w:color w:val="000000"/>
          <w:spacing w:val="0"/>
          <w:sz w:val="32"/>
          <w:szCs w:val="32"/>
          <w:shd w:val="clear" w:color="auto" w:fill="FFFFFF"/>
        </w:rPr>
        <w:t>一、项目基本情况</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智能装备制造产业园借土回填</w:t>
      </w:r>
      <w:bookmarkStart w:id="0" w:name="_GoBack"/>
      <w:bookmarkEnd w:id="0"/>
      <w:r>
        <w:rPr>
          <w:rFonts w:hint="eastAsia" w:ascii="Times New Roman" w:hAnsi="Times New Roman" w:eastAsia="方正仿宋_GBK" w:cs="Times New Roman"/>
          <w:kern w:val="2"/>
          <w:sz w:val="32"/>
          <w:szCs w:val="32"/>
          <w:lang w:val="en-US" w:eastAsia="zh-CN" w:bidi="ar-SA"/>
        </w:rPr>
        <w:t>项目面积约600亩，回填量约350万立方米，回填周期约30月。已启动运营9个月，确保智能装备制造产业园借土回填项目安全、环保运营，拟对回填项目进口制作安装</w:t>
      </w:r>
      <w:r>
        <w:rPr>
          <w:rFonts w:hint="eastAsia" w:eastAsia="方正仿宋_GBK" w:cs="Times New Roman"/>
          <w:kern w:val="2"/>
          <w:sz w:val="32"/>
          <w:szCs w:val="32"/>
          <w:lang w:val="en-US" w:eastAsia="zh-CN" w:bidi="ar-SA"/>
        </w:rPr>
        <w:t>钢</w:t>
      </w:r>
      <w:r>
        <w:rPr>
          <w:rFonts w:hint="eastAsia" w:ascii="Times New Roman" w:hAnsi="Times New Roman" w:eastAsia="方正仿宋_GBK" w:cs="Times New Roman"/>
          <w:kern w:val="2"/>
          <w:sz w:val="32"/>
          <w:szCs w:val="32"/>
          <w:lang w:val="en-US" w:eastAsia="zh-CN" w:bidi="ar-SA"/>
        </w:rPr>
        <w:t>板冲洗槽。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Style w:val="14"/>
          <w:rFonts w:hint="eastAsia" w:ascii="方正黑体_GBK" w:hAnsi="方正黑体_GBK" w:eastAsia="方正黑体_GBK" w:cs="方正黑体_GBK"/>
          <w:b w:val="0"/>
          <w:bCs/>
          <w:i w:val="0"/>
          <w:caps w:val="0"/>
          <w:color w:val="000000"/>
          <w:spacing w:val="0"/>
          <w:sz w:val="32"/>
          <w:szCs w:val="32"/>
          <w:shd w:val="clear" w:color="auto" w:fill="FFFFFF"/>
        </w:rPr>
      </w:pPr>
      <w:r>
        <w:rPr>
          <w:rStyle w:val="14"/>
          <w:rFonts w:hint="eastAsia" w:ascii="方正黑体_GBK" w:hAnsi="方正黑体_GBK" w:eastAsia="方正黑体_GBK" w:cs="方正黑体_GBK"/>
          <w:b w:val="0"/>
          <w:bCs/>
          <w:i w:val="0"/>
          <w:caps w:val="0"/>
          <w:color w:val="000000"/>
          <w:spacing w:val="0"/>
          <w:sz w:val="32"/>
          <w:szCs w:val="32"/>
          <w:shd w:val="clear" w:color="auto" w:fill="FFFFFF"/>
        </w:rPr>
        <w:t>二、报价内容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方正仿宋_GBK" w:eastAsia="方正仿宋_GBK"/>
          <w:kern w:val="2"/>
          <w:sz w:val="32"/>
          <w:szCs w:val="32"/>
          <w:lang w:val="en-US" w:eastAsia="zh-CN" w:bidi="ar-SA"/>
        </w:rPr>
      </w:pPr>
      <w:r>
        <w:rPr>
          <w:rFonts w:hint="eastAsia" w:ascii="方正仿宋_GBK" w:eastAsia="方正仿宋_GBK"/>
          <w:kern w:val="2"/>
          <w:sz w:val="32"/>
          <w:szCs w:val="32"/>
          <w:lang w:val="en-US" w:eastAsia="zh-CN" w:bidi="ar-SA"/>
        </w:rPr>
        <w:t>报价单位提供冲洗槽材料、制作、安装等。需自行踏勘现场并测算费用，按总价进行报价，报价应包含材料、人工、税费等所有费用。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方正仿宋_GBK" w:eastAsia="方正仿宋_GBK"/>
          <w:kern w:val="2"/>
          <w:sz w:val="32"/>
          <w:szCs w:val="32"/>
          <w:lang w:val="en-US" w:eastAsia="zh-CN" w:bidi="ar-SA"/>
        </w:rPr>
      </w:pPr>
      <w:r>
        <w:rPr>
          <w:rFonts w:hint="eastAsia" w:ascii="方正仿宋_GBK" w:eastAsia="方正仿宋_GBK"/>
          <w:kern w:val="2"/>
          <w:sz w:val="32"/>
          <w:szCs w:val="32"/>
          <w:lang w:val="en-US" w:eastAsia="zh-CN" w:bidi="ar-SA"/>
        </w:rPr>
        <w:t>所有响应单位请在</w:t>
      </w:r>
      <w:r>
        <w:rPr>
          <w:rFonts w:hint="default" w:ascii="Times New Roman" w:hAnsi="Times New Roman" w:eastAsia="方正仿宋_GBK" w:cs="Times New Roman"/>
          <w:kern w:val="2"/>
          <w:sz w:val="32"/>
          <w:szCs w:val="32"/>
          <w:lang w:val="en-US" w:eastAsia="zh-CN" w:bidi="ar-SA"/>
        </w:rPr>
        <w:t>2024</w:t>
      </w:r>
      <w:r>
        <w:rPr>
          <w:rFonts w:hint="eastAsia" w:ascii="方正仿宋_GBK" w:eastAsia="方正仿宋_GBK"/>
          <w:kern w:val="2"/>
          <w:sz w:val="32"/>
          <w:szCs w:val="32"/>
          <w:lang w:val="en-US" w:eastAsia="zh-CN" w:bidi="ar-SA"/>
        </w:rPr>
        <w:t>年 </w:t>
      </w:r>
      <w:r>
        <w:rPr>
          <w:rFonts w:hint="eastAsia" w:ascii="Times New Roman" w:hAnsi="Times New Roman" w:eastAsia="方正仿宋_GBK" w:cs="Times New Roman"/>
          <w:kern w:val="2"/>
          <w:sz w:val="32"/>
          <w:szCs w:val="32"/>
          <w:lang w:val="en-US" w:eastAsia="zh-CN" w:bidi="ar-SA"/>
        </w:rPr>
        <w:t>8</w:t>
      </w:r>
      <w:r>
        <w:rPr>
          <w:rFonts w:hint="eastAsia" w:ascii="方正仿宋_GBK" w:eastAsia="方正仿宋_GBK"/>
          <w:kern w:val="2"/>
          <w:sz w:val="32"/>
          <w:szCs w:val="32"/>
          <w:lang w:val="en-US" w:eastAsia="zh-CN" w:bidi="ar-SA"/>
        </w:rPr>
        <w:t>月</w:t>
      </w:r>
      <w:r>
        <w:rPr>
          <w:rFonts w:hint="eastAsia" w:ascii="Times New Roman" w:hAnsi="Times New Roman" w:eastAsia="方正仿宋_GBK" w:cs="Times New Roman"/>
          <w:kern w:val="2"/>
          <w:sz w:val="32"/>
          <w:szCs w:val="32"/>
          <w:lang w:val="en-US" w:eastAsia="zh-CN" w:bidi="ar-SA"/>
        </w:rPr>
        <w:t>2</w:t>
      </w:r>
      <w:r>
        <w:rPr>
          <w:rFonts w:hint="eastAsia" w:ascii="方正仿宋_GBK" w:eastAsia="方正仿宋_GBK"/>
          <w:kern w:val="2"/>
          <w:sz w:val="32"/>
          <w:szCs w:val="32"/>
          <w:lang w:val="en-US" w:eastAsia="zh-CN" w:bidi="ar-SA"/>
        </w:rPr>
        <w:t>日</w:t>
      </w:r>
      <w:r>
        <w:rPr>
          <w:rFonts w:hint="eastAsia" w:ascii="Times New Roman" w:hAnsi="Times New Roman" w:eastAsia="方正仿宋_GBK" w:cs="Times New Roman"/>
          <w:kern w:val="2"/>
          <w:sz w:val="32"/>
          <w:szCs w:val="32"/>
          <w:lang w:val="en-US" w:eastAsia="zh-CN" w:bidi="ar-SA"/>
        </w:rPr>
        <w:t>10</w:t>
      </w:r>
      <w:r>
        <w:rPr>
          <w:rFonts w:hint="eastAsia" w:ascii="方正仿宋_GBK" w:eastAsia="方正仿宋_GBK"/>
          <w:kern w:val="2"/>
          <w:sz w:val="32"/>
          <w:szCs w:val="32"/>
          <w:lang w:val="en-US" w:eastAsia="zh-CN" w:bidi="ar-SA"/>
        </w:rPr>
        <w:t> 时前将报价书（附件）、营业执照盖章密封送至重庆数智产业园标准厂房公寓-重庆南投商业管理有限公司。</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Style w:val="14"/>
          <w:rFonts w:hint="eastAsia" w:ascii="方正黑体_GBK" w:hAnsi="方正黑体_GBK" w:eastAsia="方正黑体_GBK" w:cs="方正黑体_GBK"/>
          <w:b w:val="0"/>
          <w:bCs/>
          <w:i w:val="0"/>
          <w:caps w:val="0"/>
          <w:color w:val="000000"/>
          <w:spacing w:val="0"/>
          <w:sz w:val="32"/>
          <w:szCs w:val="32"/>
          <w:shd w:val="clear" w:color="auto" w:fill="FFFFFF"/>
        </w:rPr>
      </w:pPr>
      <w:r>
        <w:rPr>
          <w:rStyle w:val="14"/>
          <w:rFonts w:hint="eastAsia" w:ascii="方正黑体_GBK" w:hAnsi="方正黑体_GBK" w:eastAsia="方正黑体_GBK" w:cs="方正黑体_GBK"/>
          <w:b w:val="0"/>
          <w:bCs/>
          <w:i w:val="0"/>
          <w:caps w:val="0"/>
          <w:color w:val="000000"/>
          <w:spacing w:val="0"/>
          <w:sz w:val="32"/>
          <w:szCs w:val="32"/>
          <w:shd w:val="clear" w:color="auto" w:fill="FFFFFF"/>
        </w:rPr>
        <w:t>三、联系人及联系方式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联系人：陈老师；联系方式：18523384466</w:t>
      </w:r>
      <w:r>
        <w:rPr>
          <w:rFonts w:hint="eastAsia" w:ascii="Times New Roman" w:hAnsi="Times New Roman" w:eastAsia="方正仿宋_GBK" w:cs="Times New Roman"/>
          <w:kern w:val="2"/>
          <w:sz w:val="32"/>
          <w:szCs w:val="32"/>
          <w:lang w:val="en-US" w:eastAsia="zh-CN" w:bidi="ar-SA"/>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_GBK" w:cs="Times New Roman"/>
          <w:color w:val="auto"/>
          <w:sz w:val="32"/>
          <w:szCs w:val="32"/>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附件：材料清单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3200" w:firstLineChars="10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重庆数智产业园建设实业有限公司</w:t>
      </w:r>
    </w:p>
    <w:p>
      <w:pPr>
        <w:keepNext w:val="0"/>
        <w:keepLines w:val="0"/>
        <w:pageBreakBefore w:val="0"/>
        <w:widowControl w:val="0"/>
        <w:kinsoku/>
        <w:wordWrap/>
        <w:overflowPunct/>
        <w:topLinePunct w:val="0"/>
        <w:autoSpaceDE/>
        <w:autoSpaceDN/>
        <w:bidi w:val="0"/>
        <w:adjustRightInd/>
        <w:snapToGrid/>
        <w:spacing w:line="520" w:lineRule="exact"/>
        <w:ind w:firstLine="4800" w:firstLineChars="1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2"/>
          <w:sz w:val="32"/>
          <w:szCs w:val="32"/>
          <w:lang w:val="en-US" w:eastAsia="zh-CN" w:bidi="ar-SA"/>
        </w:rPr>
        <w:t>2024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kern w:val="2"/>
          <w:sz w:val="32"/>
          <w:szCs w:val="32"/>
          <w:lang w:val="en-US" w:eastAsia="zh-CN" w:bidi="ar-SA"/>
        </w:rPr>
        <w:t>7</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31</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textAlignment w:val="auto"/>
        <w:rPr>
          <w:rFonts w:hint="eastAsia" w:ascii="方正仿宋_GBK" w:hAnsi="仿宋_GB2312" w:eastAsia="方正仿宋_GBK"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numPr>
          <w:ilvl w:val="0"/>
          <w:numId w:val="0"/>
        </w:numPr>
        <w:jc w:val="center"/>
        <w:rPr>
          <w:rFonts w:hint="eastAsia"/>
          <w:b/>
          <w:bCs/>
          <w:sz w:val="36"/>
          <w:szCs w:val="36"/>
          <w:lang w:val="en-US" w:eastAsia="zh-CN"/>
        </w:rPr>
      </w:pPr>
      <w:r>
        <w:rPr>
          <w:rFonts w:hint="eastAsia"/>
          <w:b/>
          <w:bCs/>
          <w:sz w:val="36"/>
          <w:szCs w:val="36"/>
          <w:lang w:val="en-US" w:eastAsia="zh-CN"/>
        </w:rPr>
        <w:t>材料清单</w:t>
      </w:r>
    </w:p>
    <w:p>
      <w:pPr>
        <w:numPr>
          <w:ilvl w:val="0"/>
          <w:numId w:val="0"/>
        </w:numPr>
        <w:jc w:val="center"/>
        <w:rPr>
          <w:rFonts w:hint="eastAsia"/>
          <w:b/>
          <w:bCs/>
          <w:sz w:val="36"/>
          <w:szCs w:val="36"/>
          <w:lang w:val="en-US" w:eastAsia="zh-CN"/>
        </w:rPr>
      </w:pPr>
    </w:p>
    <w:tbl>
      <w:tblPr>
        <w:tblStyle w:val="12"/>
        <w:tblW w:w="8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200"/>
        <w:gridCol w:w="3709"/>
        <w:gridCol w:w="1459"/>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 w:type="dxa"/>
            <w:vAlign w:val="center"/>
          </w:tcPr>
          <w:p>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编号</w:t>
            </w:r>
          </w:p>
        </w:tc>
        <w:tc>
          <w:tcPr>
            <w:tcW w:w="1200" w:type="dxa"/>
            <w:vAlign w:val="center"/>
          </w:tcPr>
          <w:p>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名称</w:t>
            </w:r>
          </w:p>
        </w:tc>
        <w:tc>
          <w:tcPr>
            <w:tcW w:w="3709" w:type="dxa"/>
            <w:vAlign w:val="center"/>
          </w:tcPr>
          <w:p>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规格</w:t>
            </w:r>
          </w:p>
        </w:tc>
        <w:tc>
          <w:tcPr>
            <w:tcW w:w="1459" w:type="dxa"/>
            <w:vAlign w:val="center"/>
          </w:tcPr>
          <w:p>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型号</w:t>
            </w:r>
          </w:p>
        </w:tc>
        <w:tc>
          <w:tcPr>
            <w:tcW w:w="1473" w:type="dxa"/>
            <w:vAlign w:val="center"/>
          </w:tcPr>
          <w:p>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 w:type="dxa"/>
            <w:vAlign w:val="center"/>
          </w:tcPr>
          <w:p>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1</w:t>
            </w:r>
          </w:p>
        </w:tc>
        <w:tc>
          <w:tcPr>
            <w:tcW w:w="1200" w:type="dxa"/>
            <w:vAlign w:val="center"/>
          </w:tcPr>
          <w:p>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钢板</w:t>
            </w:r>
          </w:p>
        </w:tc>
        <w:tc>
          <w:tcPr>
            <w:tcW w:w="3709" w:type="dxa"/>
            <w:vAlign w:val="center"/>
          </w:tcPr>
          <w:p>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14.8米*3.5米*20mm</w:t>
            </w:r>
          </w:p>
        </w:tc>
        <w:tc>
          <w:tcPr>
            <w:tcW w:w="1459" w:type="dxa"/>
            <w:vAlign w:val="center"/>
          </w:tcPr>
          <w:p>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Q235</w:t>
            </w:r>
          </w:p>
        </w:tc>
        <w:tc>
          <w:tcPr>
            <w:tcW w:w="1473" w:type="dxa"/>
            <w:vAlign w:val="center"/>
          </w:tcPr>
          <w:p>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 w:type="dxa"/>
            <w:vAlign w:val="center"/>
          </w:tcPr>
          <w:p>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2</w:t>
            </w:r>
          </w:p>
        </w:tc>
        <w:tc>
          <w:tcPr>
            <w:tcW w:w="1200" w:type="dxa"/>
            <w:vAlign w:val="center"/>
          </w:tcPr>
          <w:p>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钢板</w:t>
            </w:r>
          </w:p>
        </w:tc>
        <w:tc>
          <w:tcPr>
            <w:tcW w:w="3709" w:type="dxa"/>
            <w:vAlign w:val="center"/>
          </w:tcPr>
          <w:p>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14.6米*1.5米*14mm</w:t>
            </w:r>
          </w:p>
        </w:tc>
        <w:tc>
          <w:tcPr>
            <w:tcW w:w="1459" w:type="dxa"/>
            <w:vAlign w:val="center"/>
          </w:tcPr>
          <w:p>
            <w:pPr>
              <w:numPr>
                <w:ilvl w:val="0"/>
                <w:numId w:val="0"/>
              </w:numPr>
              <w:ind w:left="0" w:leftChars="0" w:firstLine="0" w:firstLineChars="0"/>
              <w:jc w:val="center"/>
              <w:rPr>
                <w:rFonts w:hint="default"/>
                <w:sz w:val="28"/>
                <w:szCs w:val="28"/>
                <w:vertAlign w:val="baseline"/>
                <w:lang w:val="en-US" w:eastAsia="zh-CN"/>
              </w:rPr>
            </w:pPr>
            <w:r>
              <w:rPr>
                <w:rFonts w:hint="eastAsia"/>
                <w:sz w:val="28"/>
                <w:szCs w:val="28"/>
                <w:vertAlign w:val="baseline"/>
                <w:lang w:val="en-US" w:eastAsia="zh-CN"/>
              </w:rPr>
              <w:t>Q235</w:t>
            </w:r>
          </w:p>
        </w:tc>
        <w:tc>
          <w:tcPr>
            <w:tcW w:w="1473" w:type="dxa"/>
            <w:vAlign w:val="center"/>
          </w:tcPr>
          <w:p>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 w:type="dxa"/>
            <w:vAlign w:val="center"/>
          </w:tcPr>
          <w:p>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3</w:t>
            </w:r>
          </w:p>
        </w:tc>
        <w:tc>
          <w:tcPr>
            <w:tcW w:w="1200" w:type="dxa"/>
            <w:vAlign w:val="center"/>
          </w:tcPr>
          <w:p>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钢板</w:t>
            </w:r>
          </w:p>
        </w:tc>
        <w:tc>
          <w:tcPr>
            <w:tcW w:w="3709" w:type="dxa"/>
            <w:vAlign w:val="center"/>
          </w:tcPr>
          <w:p>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1.2米长*0.15米宽*20mm</w:t>
            </w:r>
          </w:p>
        </w:tc>
        <w:tc>
          <w:tcPr>
            <w:tcW w:w="1459" w:type="dxa"/>
            <w:vAlign w:val="center"/>
          </w:tcPr>
          <w:p>
            <w:pPr>
              <w:numPr>
                <w:ilvl w:val="0"/>
                <w:numId w:val="0"/>
              </w:numPr>
              <w:ind w:left="0" w:leftChars="0" w:firstLine="0" w:firstLineChars="0"/>
              <w:jc w:val="center"/>
              <w:rPr>
                <w:rFonts w:hint="default"/>
                <w:sz w:val="28"/>
                <w:szCs w:val="28"/>
                <w:vertAlign w:val="baseline"/>
                <w:lang w:val="en-US" w:eastAsia="zh-CN"/>
              </w:rPr>
            </w:pPr>
            <w:r>
              <w:rPr>
                <w:rFonts w:hint="eastAsia"/>
                <w:sz w:val="28"/>
                <w:szCs w:val="28"/>
                <w:vertAlign w:val="baseline"/>
                <w:lang w:val="en-US" w:eastAsia="zh-CN"/>
              </w:rPr>
              <w:t>Q235</w:t>
            </w:r>
          </w:p>
        </w:tc>
        <w:tc>
          <w:tcPr>
            <w:tcW w:w="1473" w:type="dxa"/>
            <w:vAlign w:val="center"/>
          </w:tcPr>
          <w:p>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 w:type="dxa"/>
            <w:vAlign w:val="center"/>
          </w:tcPr>
          <w:p>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4</w:t>
            </w:r>
          </w:p>
        </w:tc>
        <w:tc>
          <w:tcPr>
            <w:tcW w:w="1200" w:type="dxa"/>
            <w:vAlign w:val="center"/>
          </w:tcPr>
          <w:p>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角钢</w:t>
            </w:r>
          </w:p>
        </w:tc>
        <w:tc>
          <w:tcPr>
            <w:tcW w:w="3709" w:type="dxa"/>
            <w:vAlign w:val="center"/>
          </w:tcPr>
          <w:p>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5cm*5cm*18米</w:t>
            </w:r>
          </w:p>
        </w:tc>
        <w:tc>
          <w:tcPr>
            <w:tcW w:w="1459" w:type="dxa"/>
            <w:vAlign w:val="center"/>
          </w:tcPr>
          <w:p>
            <w:pPr>
              <w:numPr>
                <w:ilvl w:val="0"/>
                <w:numId w:val="0"/>
              </w:numPr>
              <w:ind w:left="0" w:leftChars="0" w:firstLine="0" w:firstLineChars="0"/>
              <w:jc w:val="center"/>
              <w:rPr>
                <w:rFonts w:hint="default"/>
                <w:sz w:val="28"/>
                <w:szCs w:val="28"/>
                <w:vertAlign w:val="baseline"/>
                <w:lang w:val="en-US" w:eastAsia="zh-CN"/>
              </w:rPr>
            </w:pPr>
            <w:r>
              <w:rPr>
                <w:rFonts w:hint="eastAsia"/>
                <w:sz w:val="28"/>
                <w:szCs w:val="28"/>
                <w:vertAlign w:val="baseline"/>
                <w:lang w:val="en-US" w:eastAsia="zh-CN"/>
              </w:rPr>
              <w:t>Q235</w:t>
            </w:r>
          </w:p>
        </w:tc>
        <w:tc>
          <w:tcPr>
            <w:tcW w:w="1473" w:type="dxa"/>
            <w:vAlign w:val="center"/>
          </w:tcPr>
          <w:p>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2支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 w:type="dxa"/>
            <w:vAlign w:val="center"/>
          </w:tcPr>
          <w:p>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5</w:t>
            </w:r>
          </w:p>
        </w:tc>
        <w:tc>
          <w:tcPr>
            <w:tcW w:w="1200" w:type="dxa"/>
            <w:vAlign w:val="center"/>
          </w:tcPr>
          <w:p>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钢管</w:t>
            </w:r>
          </w:p>
        </w:tc>
        <w:tc>
          <w:tcPr>
            <w:tcW w:w="3709" w:type="dxa"/>
            <w:vAlign w:val="center"/>
          </w:tcPr>
          <w:p>
            <w:pPr>
              <w:numPr>
                <w:ilvl w:val="0"/>
                <w:numId w:val="0"/>
              </w:numPr>
              <w:jc w:val="center"/>
              <w:rPr>
                <w:rFonts w:hint="eastAsia" w:eastAsiaTheme="minorEastAsia"/>
                <w:sz w:val="28"/>
                <w:szCs w:val="28"/>
                <w:vertAlign w:val="baseline"/>
                <w:lang w:val="en-US" w:eastAsia="zh-CN"/>
              </w:rPr>
            </w:pPr>
            <w:r>
              <w:rPr>
                <w:rFonts w:hint="eastAsia" w:eastAsiaTheme="minorEastAsia"/>
                <w:sz w:val="28"/>
                <w:szCs w:val="28"/>
                <w:vertAlign w:val="baseline"/>
                <w:lang w:val="en-US" w:eastAsia="zh-CN"/>
              </w:rPr>
              <w:t>φ</w:t>
            </w:r>
            <w:r>
              <w:rPr>
                <w:rFonts w:hint="eastAsia"/>
                <w:sz w:val="28"/>
                <w:szCs w:val="28"/>
                <w:vertAlign w:val="baseline"/>
                <w:lang w:val="en-US" w:eastAsia="zh-CN"/>
              </w:rPr>
              <w:t>75*1米</w:t>
            </w:r>
          </w:p>
        </w:tc>
        <w:tc>
          <w:tcPr>
            <w:tcW w:w="1459" w:type="dxa"/>
            <w:vAlign w:val="center"/>
          </w:tcPr>
          <w:p>
            <w:pPr>
              <w:numPr>
                <w:ilvl w:val="0"/>
                <w:numId w:val="0"/>
              </w:numPr>
              <w:ind w:left="0" w:leftChars="0" w:firstLine="0" w:firstLineChars="0"/>
              <w:jc w:val="center"/>
              <w:rPr>
                <w:rFonts w:hint="default"/>
                <w:sz w:val="28"/>
                <w:szCs w:val="28"/>
                <w:vertAlign w:val="baseline"/>
                <w:lang w:val="en-US" w:eastAsia="zh-CN"/>
              </w:rPr>
            </w:pPr>
            <w:r>
              <w:rPr>
                <w:rFonts w:hint="eastAsia"/>
                <w:sz w:val="28"/>
                <w:szCs w:val="28"/>
                <w:vertAlign w:val="baseline"/>
                <w:lang w:val="en-US" w:eastAsia="zh-CN"/>
              </w:rPr>
              <w:t>Q235</w:t>
            </w:r>
          </w:p>
        </w:tc>
        <w:tc>
          <w:tcPr>
            <w:tcW w:w="1473" w:type="dxa"/>
            <w:vAlign w:val="center"/>
          </w:tcPr>
          <w:p>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 w:type="dxa"/>
            <w:vAlign w:val="center"/>
          </w:tcPr>
          <w:p>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6</w:t>
            </w:r>
          </w:p>
        </w:tc>
        <w:tc>
          <w:tcPr>
            <w:tcW w:w="1200" w:type="dxa"/>
            <w:vAlign w:val="center"/>
          </w:tcPr>
          <w:p>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螺纹钢</w:t>
            </w:r>
          </w:p>
        </w:tc>
        <w:tc>
          <w:tcPr>
            <w:tcW w:w="3709" w:type="dxa"/>
            <w:vAlign w:val="center"/>
          </w:tcPr>
          <w:p>
            <w:pPr>
              <w:numPr>
                <w:ilvl w:val="0"/>
                <w:numId w:val="0"/>
              </w:numPr>
              <w:jc w:val="center"/>
              <w:rPr>
                <w:rFonts w:hint="default"/>
                <w:sz w:val="28"/>
                <w:szCs w:val="28"/>
                <w:vertAlign w:val="baseline"/>
                <w:lang w:val="en-US" w:eastAsia="zh-CN"/>
              </w:rPr>
            </w:pPr>
            <w:r>
              <w:rPr>
                <w:rFonts w:hint="eastAsia"/>
                <w:sz w:val="28"/>
                <w:szCs w:val="28"/>
                <w:lang w:val="en-US" w:eastAsia="zh-CN"/>
              </w:rPr>
              <w:t>Φ20*360米</w:t>
            </w:r>
          </w:p>
        </w:tc>
        <w:tc>
          <w:tcPr>
            <w:tcW w:w="1459" w:type="dxa"/>
            <w:vAlign w:val="center"/>
          </w:tcPr>
          <w:p>
            <w:pPr>
              <w:numPr>
                <w:ilvl w:val="0"/>
                <w:numId w:val="0"/>
              </w:numPr>
              <w:ind w:left="0" w:leftChars="0" w:firstLine="0" w:firstLineChars="0"/>
              <w:jc w:val="center"/>
              <w:rPr>
                <w:rFonts w:hint="default"/>
                <w:sz w:val="28"/>
                <w:szCs w:val="28"/>
                <w:vertAlign w:val="baseline"/>
                <w:lang w:val="en-US" w:eastAsia="zh-CN"/>
              </w:rPr>
            </w:pPr>
            <w:r>
              <w:rPr>
                <w:rFonts w:hint="eastAsia"/>
                <w:sz w:val="28"/>
                <w:szCs w:val="28"/>
                <w:vertAlign w:val="baseline"/>
                <w:lang w:val="en-US" w:eastAsia="zh-CN"/>
              </w:rPr>
              <w:t>HRB400</w:t>
            </w:r>
          </w:p>
        </w:tc>
        <w:tc>
          <w:tcPr>
            <w:tcW w:w="1473" w:type="dxa"/>
            <w:vAlign w:val="center"/>
          </w:tcPr>
          <w:p>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40支*9米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 w:type="dxa"/>
            <w:vAlign w:val="center"/>
          </w:tcPr>
          <w:p>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7</w:t>
            </w:r>
          </w:p>
        </w:tc>
        <w:tc>
          <w:tcPr>
            <w:tcW w:w="1200" w:type="dxa"/>
            <w:vAlign w:val="center"/>
          </w:tcPr>
          <w:p>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75闸阀</w:t>
            </w:r>
          </w:p>
        </w:tc>
        <w:tc>
          <w:tcPr>
            <w:tcW w:w="3709" w:type="dxa"/>
            <w:vAlign w:val="center"/>
          </w:tcPr>
          <w:p>
            <w:pPr>
              <w:numPr>
                <w:ilvl w:val="0"/>
                <w:numId w:val="0"/>
              </w:numPr>
              <w:jc w:val="center"/>
              <w:rPr>
                <w:rFonts w:hint="default"/>
                <w:sz w:val="28"/>
                <w:szCs w:val="28"/>
                <w:vertAlign w:val="baseline"/>
                <w:lang w:val="en-US" w:eastAsia="zh-CN"/>
              </w:rPr>
            </w:pPr>
          </w:p>
        </w:tc>
        <w:tc>
          <w:tcPr>
            <w:tcW w:w="1459" w:type="dxa"/>
            <w:vAlign w:val="center"/>
          </w:tcPr>
          <w:p>
            <w:pPr>
              <w:numPr>
                <w:ilvl w:val="0"/>
                <w:numId w:val="0"/>
              </w:numPr>
              <w:jc w:val="center"/>
              <w:rPr>
                <w:rFonts w:hint="default"/>
                <w:sz w:val="28"/>
                <w:szCs w:val="28"/>
                <w:vertAlign w:val="baseline"/>
                <w:lang w:val="en-US" w:eastAsia="zh-CN"/>
              </w:rPr>
            </w:pPr>
          </w:p>
        </w:tc>
        <w:tc>
          <w:tcPr>
            <w:tcW w:w="1473" w:type="dxa"/>
            <w:vAlign w:val="center"/>
          </w:tcPr>
          <w:p>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2个</w:t>
            </w:r>
          </w:p>
        </w:tc>
      </w:tr>
    </w:tbl>
    <w:p>
      <w:pPr>
        <w:rPr>
          <w:rFonts w:hint="default"/>
          <w:lang w:val="en-US" w:eastAsia="zh-CN"/>
        </w:rPr>
      </w:pPr>
    </w:p>
    <w:sectPr>
      <w:headerReference r:id="rId3" w:type="default"/>
      <w:footerReference r:id="rId4" w:type="default"/>
      <w:pgSz w:w="11907" w:h="16840"/>
      <w:pgMar w:top="1134" w:right="1559" w:bottom="1134" w:left="1418" w:header="851" w:footer="760"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706"/>
        <w:tab w:val="clear" w:pos="4153"/>
      </w:tabs>
      <w:jc w:val="both"/>
      <w:rPr>
        <w:szCs w:val="1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- 4 -</w:t>
                          </w:r>
                          <w:r>
                            <w:rPr>
                              <w:rFonts w:hint="eastAsia"/>
                              <w:sz w:val="32"/>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- 4 -</w:t>
                    </w:r>
                    <w:r>
                      <w:rPr>
                        <w:rFonts w:hint="eastAsia"/>
                        <w:sz w:val="32"/>
                        <w:szCs w:val="32"/>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jc w:val="both"/>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8"/>
                      <w:jc w:val="both"/>
                    </w:pPr>
                  </w:p>
                </w:txbxContent>
              </v:textbox>
            </v:shape>
          </w:pict>
        </mc:Fallback>
      </mc:AlternateContent>
    </w:r>
  </w:p>
  <w:p>
    <w:pPr>
      <w:pStyle w:val="8"/>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xYTg1ODVhMTdkNDQ2Y2JjMjJkMWFjYWY4YTU2Y2MifQ=="/>
  </w:docVars>
  <w:rsids>
    <w:rsidRoot w:val="00000000"/>
    <w:rsid w:val="031073F2"/>
    <w:rsid w:val="07B04467"/>
    <w:rsid w:val="094B3E03"/>
    <w:rsid w:val="11E56BB6"/>
    <w:rsid w:val="13205C80"/>
    <w:rsid w:val="13880FC2"/>
    <w:rsid w:val="141B7AB9"/>
    <w:rsid w:val="170954AC"/>
    <w:rsid w:val="1A126B24"/>
    <w:rsid w:val="1DE50DD8"/>
    <w:rsid w:val="1FE67B91"/>
    <w:rsid w:val="21FC79E5"/>
    <w:rsid w:val="222A5E3C"/>
    <w:rsid w:val="23CE27EA"/>
    <w:rsid w:val="2A761A67"/>
    <w:rsid w:val="2BFC53F0"/>
    <w:rsid w:val="2F0C3EEB"/>
    <w:rsid w:val="31224EE2"/>
    <w:rsid w:val="35163A3C"/>
    <w:rsid w:val="355C5CE8"/>
    <w:rsid w:val="3DE2579B"/>
    <w:rsid w:val="3F1825B6"/>
    <w:rsid w:val="3F325E66"/>
    <w:rsid w:val="3F8D716F"/>
    <w:rsid w:val="42837D2B"/>
    <w:rsid w:val="42FD24C2"/>
    <w:rsid w:val="43B7669F"/>
    <w:rsid w:val="46A169D1"/>
    <w:rsid w:val="4E412773"/>
    <w:rsid w:val="5049023A"/>
    <w:rsid w:val="52C162F1"/>
    <w:rsid w:val="5605358D"/>
    <w:rsid w:val="58F85630"/>
    <w:rsid w:val="5D220329"/>
    <w:rsid w:val="6034553D"/>
    <w:rsid w:val="606F2526"/>
    <w:rsid w:val="623C4F9B"/>
    <w:rsid w:val="634A708F"/>
    <w:rsid w:val="69513FC7"/>
    <w:rsid w:val="6ADD1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3" w:lineRule="auto"/>
      <w:outlineLvl w:val="2"/>
    </w:pPr>
    <w:rPr>
      <w:rFonts w:ascii="Calibri" w:hAnsi="Calibri"/>
      <w:b/>
      <w:sz w:val="32"/>
    </w:rPr>
  </w:style>
  <w:style w:type="character" w:default="1" w:styleId="13">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0"/>
    <w:pPr>
      <w:tabs>
        <w:tab w:val="right" w:leader="dot" w:pos="9117"/>
      </w:tabs>
      <w:spacing w:before="120" w:after="120"/>
      <w:jc w:val="left"/>
    </w:pPr>
    <w:rPr>
      <w:caps/>
      <w:sz w:val="28"/>
      <w:szCs w:val="20"/>
    </w:rPr>
  </w:style>
  <w:style w:type="paragraph" w:styleId="6">
    <w:name w:val="toa heading"/>
    <w:basedOn w:val="1"/>
    <w:next w:val="1"/>
    <w:unhideWhenUsed/>
    <w:qFormat/>
    <w:uiPriority w:val="99"/>
    <w:pPr>
      <w:spacing w:before="120"/>
    </w:pPr>
    <w:rPr>
      <w:rFonts w:ascii="Arial" w:hAnsi="Arial"/>
      <w:sz w:val="24"/>
    </w:rPr>
  </w:style>
  <w:style w:type="paragraph" w:styleId="7">
    <w:name w:val="Plain Text"/>
    <w:basedOn w:val="1"/>
    <w:qFormat/>
    <w:uiPriority w:val="0"/>
    <w:rPr>
      <w:rFonts w:ascii="宋体" w:hAnsi="Courier New"/>
      <w:sz w:val="21"/>
    </w:rPr>
  </w:style>
  <w:style w:type="paragraph" w:styleId="8">
    <w:name w:val="footer"/>
    <w:basedOn w:val="1"/>
    <w:qFormat/>
    <w:uiPriority w:val="0"/>
    <w:pPr>
      <w:tabs>
        <w:tab w:val="center" w:pos="4153"/>
        <w:tab w:val="right" w:pos="8306"/>
      </w:tabs>
      <w:snapToGrid w:val="0"/>
      <w:jc w:val="left"/>
    </w:pPr>
    <w:rPr>
      <w:rFonts w:ascii="Calibri" w:hAnsi="Calibri"/>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libri" w:hAnsi="Calibri"/>
      <w:sz w:val="18"/>
    </w:rPr>
  </w:style>
  <w:style w:type="paragraph" w:styleId="10">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Strong"/>
    <w:basedOn w:val="13"/>
    <w:qFormat/>
    <w:uiPriority w:val="0"/>
    <w:rPr>
      <w:b/>
    </w:rPr>
  </w:style>
  <w:style w:type="character" w:customStyle="1" w:styleId="15">
    <w:name w:val="font01"/>
    <w:basedOn w:val="13"/>
    <w:qFormat/>
    <w:uiPriority w:val="0"/>
    <w:rPr>
      <w:rFonts w:hint="eastAsia" w:ascii="宋体" w:hAnsi="宋体" w:eastAsia="宋体" w:cs="宋体"/>
      <w:color w:val="000000"/>
      <w:sz w:val="22"/>
      <w:szCs w:val="22"/>
      <w:u w:val="none"/>
    </w:rPr>
  </w:style>
  <w:style w:type="character" w:customStyle="1" w:styleId="16">
    <w:name w:val="font11"/>
    <w:basedOn w:val="13"/>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422</Words>
  <Characters>513</Characters>
  <Lines>0</Lines>
  <Paragraphs>0</Paragraphs>
  <TotalTime>7</TotalTime>
  <ScaleCrop>false</ScaleCrop>
  <LinksUpToDate>false</LinksUpToDate>
  <CharactersWithSpaces>521</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2022-12-29T06:55:00Z</dcterms:created>
  <dc:creator>Administrator</dc:creator>
  <cp:lastModifiedBy>Administrator</cp:lastModifiedBy>
  <cp:lastPrinted>2024-07-26T03:25:00Z</cp:lastPrinted>
  <dcterms:modified xsi:type="dcterms:W3CDTF">2024-07-31T04:53:27Z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E97CEE142EA54A6398F4FB05881A3788_13</vt:lpwstr>
  </property>
</Properties>
</file>